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Style w:val="a4"/>
          <w:rFonts w:hint="eastAsia"/>
          <w:color w:val="000000"/>
          <w:sz w:val="32"/>
          <w:szCs w:val="32"/>
        </w:rPr>
        <w:t>能源行业信用状况年度报告</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Style w:val="a4"/>
          <w:rFonts w:hint="eastAsia"/>
          <w:color w:val="000000"/>
          <w:sz w:val="32"/>
          <w:szCs w:val="32"/>
        </w:rPr>
        <w:t>（2020）</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ascii="楷体" w:eastAsia="楷体" w:hAnsi="楷体" w:hint="eastAsia"/>
          <w:color w:val="000000"/>
          <w:sz w:val="21"/>
          <w:szCs w:val="21"/>
        </w:rPr>
        <w:t>国家能源局电力业务资质管理中心</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bookmarkStart w:id="0" w:name="_GoBack"/>
      <w:r>
        <w:rPr>
          <w:rFonts w:ascii="楷体" w:eastAsia="楷体" w:hAnsi="楷体" w:hint="eastAsia"/>
          <w:color w:val="000000"/>
          <w:sz w:val="21"/>
          <w:szCs w:val="21"/>
        </w:rPr>
        <w:t>2020年7月</w:t>
      </w:r>
    </w:p>
    <w:bookmarkEnd w:id="0"/>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目录</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一、简述</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（一）编制情况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（二）数据归集情况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二、能源行业总体信用状况良好</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（一）全行业信用状况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（二）分行业信用状况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（三）派出机构辖区企业总体信用状况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三、与2018年相比不良信用记录呈下降趋势</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（一）行政处罚方面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（二）黑名单方面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（三）合同违约方面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四、需重点关注的方面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（一）电力行业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（二）煤炭行业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（三）油气行业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五、综述</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（一）相关建议</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（二）展望与趋势</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Style w:val="a4"/>
          <w:rFonts w:hint="eastAsia"/>
          <w:color w:val="000000"/>
          <w:sz w:val="32"/>
          <w:szCs w:val="32"/>
        </w:rPr>
        <w:t>能源行业信用状况年度报告（2020）</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能源行业信用体系建设是国家社会信用体系建设的重要组成部分。2019年，国家能源局电力业务资质管理中心(以下简称资质中心）积极推进能源行业信用体系建设，组织开展信用监管工作，取得新成效，为探索构建以信用为基础的新型能源监管机制打下了基础。为全面精准反映能源行业市场主体信用状况，基于2019年能源行业信用信息数据，2020年上半年，资质中心组织中经</w:t>
      </w:r>
      <w:proofErr w:type="gramStart"/>
      <w:r>
        <w:rPr>
          <w:rFonts w:hint="eastAsia"/>
          <w:color w:val="000000"/>
          <w:sz w:val="21"/>
          <w:szCs w:val="21"/>
        </w:rPr>
        <w:t>网数据</w:t>
      </w:r>
      <w:proofErr w:type="gramEnd"/>
      <w:r>
        <w:rPr>
          <w:rFonts w:hint="eastAsia"/>
          <w:color w:val="000000"/>
          <w:sz w:val="21"/>
          <w:szCs w:val="21"/>
        </w:rPr>
        <w:t>有限公司，编制形成《能源行业信用状况年度报告（2020）》。</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一、简述</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（一）编制情况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本报告依托能源行业信用信息平台和全国公共信用信息共享平台，归集电力、煤炭、油气三大行业81409家市场主体的信用信息，建立信用信息分析样本,通过大数据技术对样本数据进行统计分析，并结合互联网舆情对能源行业市场主体进行了全方位研究分析。首先，以基本信息、良好信息、不良信息等为主要指标，从优良中差四个方面描述了能源行业总体信用状况，包括全行业信用状况、分行业（电力、煤炭、油气）状况和派出机构辖区企业总体信用状况，并重点分析了信用优级企业状况。其次，基于不良信用记录（行政处罚、黑名单、合同违约），从地域、所有制和主营业务等几个层面分析了电力、煤炭、油气行业信用状况。第三，针对存在的突出问题，分行业强调了需重点关注的方面。最后，对下一阶段工作提出相关建议，并就信用建设发展趋势作了展望。</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（二）数据归集情况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1.企业数据归集情况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本报告涉及的能源行业信用信息数据来源于全国公共信用信息共享平台和能源行业信用信息平台，截至2019年12月31日，选取样本企业81409家，较2018年增长0.28%，其中，电力类38025家，占能源行业市场主体总数的47%；油气类25675家，占能源行业市场主体总数的31%；煤炭类17709家，占能源行业市场主体总数的22%（见图1）。</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noProof/>
          <w:color w:val="000000"/>
          <w:sz w:val="21"/>
          <w:szCs w:val="21"/>
        </w:rPr>
        <w:drawing>
          <wp:inline distT="0" distB="0" distL="0" distR="0" wp14:anchorId="4E397E1A" wp14:editId="31418262">
            <wp:extent cx="4572000" cy="2743200"/>
            <wp:effectExtent l="0" t="0" r="0" b="0"/>
            <wp:docPr id="1" name="{6DE6DAA0-E26E-452A-BC37-03E68843596F}" descr="http://www.nea.gov.cn/2020-08/26/139287115_1597286762106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E6DAA0-E26E-452A-BC37-03E68843596F}" descr="http://www.nea.gov.cn/2020-08/26/139287115_15972867621061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hint="eastAsia"/>
          <w:color w:val="0000FF"/>
          <w:sz w:val="21"/>
          <w:szCs w:val="21"/>
        </w:rPr>
        <w:t>图1 能源行业市场主体占比情况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与2018年相比，煤炭、油气类涉及的市场主体数量略有下降（见图2），主要原因是剔除了工商注册登记状态中为注销、吊销、迁出等非正常存续经营的企业。</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noProof/>
          <w:color w:val="000000"/>
          <w:sz w:val="21"/>
          <w:szCs w:val="21"/>
        </w:rPr>
        <w:drawing>
          <wp:inline distT="0" distB="0" distL="0" distR="0" wp14:anchorId="0EA7927A" wp14:editId="29C28C99">
            <wp:extent cx="4572000" cy="2743200"/>
            <wp:effectExtent l="0" t="0" r="0" b="0"/>
            <wp:docPr id="2" name="{37C2B4FE-AD17-473C-ADCD-931B183F0DF1}" descr="http://www.nea.gov.cn/2020-08/26/139287115_1597286785108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C2B4FE-AD17-473C-ADCD-931B183F0DF1}" descr="http://www.nea.gov.cn/2020-08/26/139287115_15972867851081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hint="eastAsia"/>
          <w:color w:val="0000FF"/>
          <w:sz w:val="21"/>
          <w:szCs w:val="21"/>
        </w:rPr>
        <w:t>图2 能源行业市场主体数量变化情况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2.不良信用记录归集情况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本报告不良信用信息包括行政处罚记录1801条，黑名单10884条，合同违约记录27215条。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行政处罚记录是指企业被各级行政执法部门出具的行政处罚记录，分为安全类、市场类、环保类、其他类。安全类包括安全生产和建筑施工中产生的行政处罚；市场类包括市场监督管理部门、物价管理部门、税务部门等实施的行政处罚；环保类主要来自生态环保部门和林业草原部门等实施的行政处罚；其他类主要是不包括在上述分类中的行政处罚，例如，来自交通管理部门的处罚等。本报告行政处罚记录包括电力行业1133条、油气行业163条、煤炭行业505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黑名单记录是指失信被执行人、统计上严重失信企业、安全生产黑名单、重大税收违法案件当事人、拖欠农民工工资黑名单、涉金融黑名单、海关失信企业信息以及异常经营信息等。本报告黑名单记录分为失信被执行人、市场经营类、安全生产黑名单三大类，其中，市场经营类进一步细分为：重大税收黑名单记录、企业异常经营、拖欠农民工工资黑名单。企业异常经营按照异常原因进一步分为：未公示年度报告、未公示企业有关信息、公示企业信息隐瞒真实情况、通过登记的经营场所无法联系等四类。本报告黑名单记录包括电力行业2383条、油气行业1726条、煤炭行业6775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合同违约记录是指企业因合同违约败诉的裁判文书记录。本报告合同违约分为能源业务类、施工安全类、施工违规类、环境问题类以及其他类违约。能源业务类主要指裁判文书中涉及能源供给等关键字的记录，施工安全类主要指裁判文书中出现施工威胁人身生命安全等关键字的记录，施工违规类涉及工程承包、建设、招投标等环节的违规，其他类主要涉及经济方面，如拖欠账款、劳务纠纷等。本报告合同违约记录包括电力行业12045条、油气行业2979条、煤炭行业12191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二、能源行业总体信用状况良好</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2019年，随着国家社会信用体系建设的快速推进，信用信息归集能力大幅提升，能源行业市场主体更加重视诚实守信、依法合</w:t>
      </w:r>
      <w:proofErr w:type="gramStart"/>
      <w:r>
        <w:rPr>
          <w:rFonts w:hint="eastAsia"/>
          <w:color w:val="000000"/>
          <w:sz w:val="21"/>
          <w:szCs w:val="21"/>
        </w:rPr>
        <w:t>规</w:t>
      </w:r>
      <w:proofErr w:type="gramEnd"/>
      <w:r>
        <w:rPr>
          <w:rFonts w:hint="eastAsia"/>
          <w:color w:val="000000"/>
          <w:sz w:val="21"/>
          <w:szCs w:val="21"/>
        </w:rPr>
        <w:t>经营，总体信用状况良好。</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（一）全行业信用状况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本报告对81409家能源企业进行了信用状况综合分析，信用优级、</w:t>
      </w:r>
      <w:proofErr w:type="gramStart"/>
      <w:r>
        <w:rPr>
          <w:rFonts w:hint="eastAsia"/>
          <w:color w:val="000000"/>
          <w:sz w:val="21"/>
          <w:szCs w:val="21"/>
        </w:rPr>
        <w:t>良级企业</w:t>
      </w:r>
      <w:proofErr w:type="gramEnd"/>
      <w:r>
        <w:rPr>
          <w:rFonts w:hint="eastAsia"/>
          <w:color w:val="000000"/>
          <w:sz w:val="21"/>
          <w:szCs w:val="21"/>
        </w:rPr>
        <w:t>77153家，占能源企业总数的94.77%。信用差级企业数量2933家，占能源企业总数的3.60%。</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电力行业信用优级企业数量和优级企业占该省企业总数的比值均排前列的省份是北京市、浙江省、湖北省。煤炭行业信用优级企业数量和优级企业占该省企业总数的比值均排前列的省份是北京市、山东省、陕西省。油气行业信用优级企业数量和优级企业占该省企业总数的比值均排前列的省份是山东省、安徽省。</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（二）分行业信用状况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电力行业总体信用状况良好，多集中在</w:t>
      </w:r>
      <w:proofErr w:type="gramStart"/>
      <w:r>
        <w:rPr>
          <w:rFonts w:hint="eastAsia"/>
          <w:color w:val="000000"/>
          <w:sz w:val="21"/>
          <w:szCs w:val="21"/>
        </w:rPr>
        <w:t>良级范围</w:t>
      </w:r>
      <w:proofErr w:type="gramEnd"/>
      <w:r>
        <w:rPr>
          <w:rFonts w:hint="eastAsia"/>
          <w:color w:val="000000"/>
          <w:sz w:val="21"/>
          <w:szCs w:val="21"/>
        </w:rPr>
        <w:t>内。其中，优级企业1788家，占电力行业所有企业的4.70%；</w:t>
      </w:r>
      <w:proofErr w:type="gramStart"/>
      <w:r>
        <w:rPr>
          <w:rFonts w:hint="eastAsia"/>
          <w:color w:val="000000"/>
          <w:sz w:val="21"/>
          <w:szCs w:val="21"/>
        </w:rPr>
        <w:t>良级企业</w:t>
      </w:r>
      <w:proofErr w:type="gramEnd"/>
      <w:r>
        <w:rPr>
          <w:rFonts w:hint="eastAsia"/>
          <w:color w:val="000000"/>
          <w:sz w:val="21"/>
          <w:szCs w:val="21"/>
        </w:rPr>
        <w:t>34780家，占电力行业所有企业的91.46%；中级企业679家，占电力行业所有企业的1.79%；差级企业778家，占电力行业所有企业的2.05%。</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煤炭行业总体信用状况良好，多集中在</w:t>
      </w:r>
      <w:proofErr w:type="gramStart"/>
      <w:r>
        <w:rPr>
          <w:rFonts w:hint="eastAsia"/>
          <w:color w:val="000000"/>
          <w:sz w:val="21"/>
          <w:szCs w:val="21"/>
        </w:rPr>
        <w:t>良级范围</w:t>
      </w:r>
      <w:proofErr w:type="gramEnd"/>
      <w:r>
        <w:rPr>
          <w:rFonts w:hint="eastAsia"/>
          <w:color w:val="000000"/>
          <w:sz w:val="21"/>
          <w:szCs w:val="21"/>
        </w:rPr>
        <w:t>内。其中，优级企业62家，占煤炭行业所有企业的0.35%；</w:t>
      </w:r>
      <w:proofErr w:type="gramStart"/>
      <w:r>
        <w:rPr>
          <w:rFonts w:hint="eastAsia"/>
          <w:color w:val="000000"/>
          <w:sz w:val="21"/>
          <w:szCs w:val="21"/>
        </w:rPr>
        <w:t>良级企业</w:t>
      </w:r>
      <w:proofErr w:type="gramEnd"/>
      <w:r>
        <w:rPr>
          <w:rFonts w:hint="eastAsia"/>
          <w:color w:val="000000"/>
          <w:sz w:val="21"/>
          <w:szCs w:val="21"/>
        </w:rPr>
        <w:t>15223家，占煤炭行业所有企业的85.95%；中级企业564家，占煤炭行业所有企业的3.18%；差级企业1860家，占煤炭行业所有企业的10.50%。</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油气行业总体信用状况良好，多集中在</w:t>
      </w:r>
      <w:proofErr w:type="gramStart"/>
      <w:r>
        <w:rPr>
          <w:rFonts w:hint="eastAsia"/>
          <w:color w:val="000000"/>
          <w:sz w:val="21"/>
          <w:szCs w:val="21"/>
        </w:rPr>
        <w:t>良级范围</w:t>
      </w:r>
      <w:proofErr w:type="gramEnd"/>
      <w:r>
        <w:rPr>
          <w:rFonts w:hint="eastAsia"/>
          <w:color w:val="000000"/>
          <w:sz w:val="21"/>
          <w:szCs w:val="21"/>
        </w:rPr>
        <w:t>内。其中，优级企业112家，占油气行业所有企业的0.44%；</w:t>
      </w:r>
      <w:proofErr w:type="gramStart"/>
      <w:r>
        <w:rPr>
          <w:rFonts w:hint="eastAsia"/>
          <w:color w:val="000000"/>
          <w:sz w:val="21"/>
          <w:szCs w:val="21"/>
        </w:rPr>
        <w:t>良级企业</w:t>
      </w:r>
      <w:proofErr w:type="gramEnd"/>
      <w:r>
        <w:rPr>
          <w:rFonts w:hint="eastAsia"/>
          <w:color w:val="000000"/>
          <w:sz w:val="21"/>
          <w:szCs w:val="21"/>
        </w:rPr>
        <w:t>25188家，占油气行业所有企业的98.10%；中级企业80家，占油气行业所有企业的0.31%；差级企业295家，占油气行业所有企业的1.15%。</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（三）派出机构辖区企业总体信用状况</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国家能源局18家派出机构所辖区</w:t>
      </w:r>
      <w:proofErr w:type="gramStart"/>
      <w:r>
        <w:rPr>
          <w:rFonts w:hint="eastAsia"/>
          <w:color w:val="000000"/>
          <w:sz w:val="21"/>
          <w:szCs w:val="21"/>
        </w:rPr>
        <w:t>域企业</w:t>
      </w:r>
      <w:proofErr w:type="gramEnd"/>
      <w:r>
        <w:rPr>
          <w:rFonts w:hint="eastAsia"/>
          <w:color w:val="000000"/>
          <w:sz w:val="21"/>
          <w:szCs w:val="21"/>
        </w:rPr>
        <w:t>总体信用状况良好，集中在</w:t>
      </w:r>
      <w:proofErr w:type="gramStart"/>
      <w:r>
        <w:rPr>
          <w:rFonts w:hint="eastAsia"/>
          <w:color w:val="000000"/>
          <w:sz w:val="21"/>
          <w:szCs w:val="21"/>
        </w:rPr>
        <w:t>良级范围</w:t>
      </w:r>
      <w:proofErr w:type="gramEnd"/>
      <w:r>
        <w:rPr>
          <w:rFonts w:hint="eastAsia"/>
          <w:color w:val="000000"/>
          <w:sz w:val="21"/>
          <w:szCs w:val="21"/>
        </w:rPr>
        <w:t>内（派出机构辖区企业总体信用状况见附表1）。</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电力行业信用优级企业1788家，其中，持证企业1436家，未持证企业362家。优级企业</w:t>
      </w:r>
      <w:proofErr w:type="gramStart"/>
      <w:r>
        <w:rPr>
          <w:rFonts w:hint="eastAsia"/>
          <w:color w:val="000000"/>
          <w:sz w:val="21"/>
          <w:szCs w:val="21"/>
        </w:rPr>
        <w:t>占比较</w:t>
      </w:r>
      <w:proofErr w:type="gramEnd"/>
      <w:r>
        <w:rPr>
          <w:rFonts w:hint="eastAsia"/>
          <w:color w:val="000000"/>
          <w:sz w:val="21"/>
          <w:szCs w:val="21"/>
        </w:rPr>
        <w:t>高的前五名是华北监管局、南方监管局、山东监管办、华中监管局、浙江监管办等辖区。差级企业</w:t>
      </w:r>
      <w:proofErr w:type="gramStart"/>
      <w:r>
        <w:rPr>
          <w:rFonts w:hint="eastAsia"/>
          <w:color w:val="000000"/>
          <w:sz w:val="21"/>
          <w:szCs w:val="21"/>
        </w:rPr>
        <w:t>占比较</w:t>
      </w:r>
      <w:proofErr w:type="gramEnd"/>
      <w:r>
        <w:rPr>
          <w:rFonts w:hint="eastAsia"/>
          <w:color w:val="000000"/>
          <w:sz w:val="21"/>
          <w:szCs w:val="21"/>
        </w:rPr>
        <w:t>高的前五名是东北监管局、华中监管局、华北监管局、河南监管办、四川监管办等辖区。电</w:t>
      </w:r>
      <w:proofErr w:type="gramStart"/>
      <w:r>
        <w:rPr>
          <w:rFonts w:hint="eastAsia"/>
          <w:color w:val="000000"/>
          <w:sz w:val="21"/>
          <w:szCs w:val="21"/>
        </w:rPr>
        <w:t>力持证</w:t>
      </w:r>
      <w:proofErr w:type="gramEnd"/>
      <w:r>
        <w:rPr>
          <w:rFonts w:hint="eastAsia"/>
          <w:color w:val="000000"/>
          <w:sz w:val="21"/>
          <w:szCs w:val="21"/>
        </w:rPr>
        <w:t>优级企业</w:t>
      </w:r>
      <w:proofErr w:type="gramStart"/>
      <w:r>
        <w:rPr>
          <w:rFonts w:hint="eastAsia"/>
          <w:color w:val="000000"/>
          <w:sz w:val="21"/>
          <w:szCs w:val="21"/>
        </w:rPr>
        <w:t>占比较</w:t>
      </w:r>
      <w:proofErr w:type="gramEnd"/>
      <w:r>
        <w:rPr>
          <w:rFonts w:hint="eastAsia"/>
          <w:color w:val="000000"/>
          <w:sz w:val="21"/>
          <w:szCs w:val="21"/>
        </w:rPr>
        <w:t>高的前五名是南方监管局、山东监管办、华北监管局、浙江监管办、华中监管局等辖区。电</w:t>
      </w:r>
      <w:proofErr w:type="gramStart"/>
      <w:r>
        <w:rPr>
          <w:rFonts w:hint="eastAsia"/>
          <w:color w:val="000000"/>
          <w:sz w:val="21"/>
          <w:szCs w:val="21"/>
        </w:rPr>
        <w:t>力持证差</w:t>
      </w:r>
      <w:proofErr w:type="gramEnd"/>
      <w:r>
        <w:rPr>
          <w:rFonts w:hint="eastAsia"/>
          <w:color w:val="000000"/>
          <w:sz w:val="21"/>
          <w:szCs w:val="21"/>
        </w:rPr>
        <w:t>级企业</w:t>
      </w:r>
      <w:proofErr w:type="gramStart"/>
      <w:r>
        <w:rPr>
          <w:rFonts w:hint="eastAsia"/>
          <w:color w:val="000000"/>
          <w:sz w:val="21"/>
          <w:szCs w:val="21"/>
        </w:rPr>
        <w:t>占比较</w:t>
      </w:r>
      <w:proofErr w:type="gramEnd"/>
      <w:r>
        <w:rPr>
          <w:rFonts w:hint="eastAsia"/>
          <w:color w:val="000000"/>
          <w:sz w:val="21"/>
          <w:szCs w:val="21"/>
        </w:rPr>
        <w:t>高的前五名是东北监管局、华中监管局、华北监管局、河南监管办、四川监管办等辖区。电力未持证优级企业</w:t>
      </w:r>
      <w:proofErr w:type="gramStart"/>
      <w:r>
        <w:rPr>
          <w:rFonts w:hint="eastAsia"/>
          <w:color w:val="000000"/>
          <w:sz w:val="21"/>
          <w:szCs w:val="21"/>
        </w:rPr>
        <w:t>占比较</w:t>
      </w:r>
      <w:proofErr w:type="gramEnd"/>
      <w:r>
        <w:rPr>
          <w:rFonts w:hint="eastAsia"/>
          <w:color w:val="000000"/>
          <w:sz w:val="21"/>
          <w:szCs w:val="21"/>
        </w:rPr>
        <w:t>高的前五名是华北监管局、江苏监管办、华中监管局、东北监管局、浙江</w:t>
      </w:r>
      <w:r>
        <w:rPr>
          <w:rFonts w:hint="eastAsia"/>
          <w:color w:val="000000"/>
          <w:sz w:val="21"/>
          <w:szCs w:val="21"/>
        </w:rPr>
        <w:lastRenderedPageBreak/>
        <w:t>监管办等辖区。电力未持证差级企业</w:t>
      </w:r>
      <w:proofErr w:type="gramStart"/>
      <w:r>
        <w:rPr>
          <w:rFonts w:hint="eastAsia"/>
          <w:color w:val="000000"/>
          <w:sz w:val="21"/>
          <w:szCs w:val="21"/>
        </w:rPr>
        <w:t>占比较</w:t>
      </w:r>
      <w:proofErr w:type="gramEnd"/>
      <w:r>
        <w:rPr>
          <w:rFonts w:hint="eastAsia"/>
          <w:color w:val="000000"/>
          <w:sz w:val="21"/>
          <w:szCs w:val="21"/>
        </w:rPr>
        <w:t>高的前五名是山西监管办、华北监管局、华中监管局、云南监管办、江苏监管办等辖区。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煤炭行业优级企业</w:t>
      </w:r>
      <w:proofErr w:type="gramStart"/>
      <w:r>
        <w:rPr>
          <w:rFonts w:hint="eastAsia"/>
          <w:color w:val="000000"/>
          <w:sz w:val="21"/>
          <w:szCs w:val="21"/>
        </w:rPr>
        <w:t>占比较</w:t>
      </w:r>
      <w:proofErr w:type="gramEnd"/>
      <w:r>
        <w:rPr>
          <w:rFonts w:hint="eastAsia"/>
          <w:color w:val="000000"/>
          <w:sz w:val="21"/>
          <w:szCs w:val="21"/>
        </w:rPr>
        <w:t>高的前五名是山东监管办、山西监管办、西北监管局、华北监管局、河南监管办等辖区，差级企业</w:t>
      </w:r>
      <w:proofErr w:type="gramStart"/>
      <w:r>
        <w:rPr>
          <w:rFonts w:hint="eastAsia"/>
          <w:color w:val="000000"/>
          <w:sz w:val="21"/>
          <w:szCs w:val="21"/>
        </w:rPr>
        <w:t>占比较</w:t>
      </w:r>
      <w:proofErr w:type="gramEnd"/>
      <w:r>
        <w:rPr>
          <w:rFonts w:hint="eastAsia"/>
          <w:color w:val="000000"/>
          <w:sz w:val="21"/>
          <w:szCs w:val="21"/>
        </w:rPr>
        <w:t>高的前五名是山西监管办、贵州监管办、华中监管局、云南监管办、四川监管办等辖区。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油气行业优级企业</w:t>
      </w:r>
      <w:proofErr w:type="gramStart"/>
      <w:r>
        <w:rPr>
          <w:rFonts w:hint="eastAsia"/>
          <w:color w:val="000000"/>
          <w:sz w:val="21"/>
          <w:szCs w:val="21"/>
        </w:rPr>
        <w:t>占比较</w:t>
      </w:r>
      <w:proofErr w:type="gramEnd"/>
      <w:r>
        <w:rPr>
          <w:rFonts w:hint="eastAsia"/>
          <w:color w:val="000000"/>
          <w:sz w:val="21"/>
          <w:szCs w:val="21"/>
        </w:rPr>
        <w:t>高的前五名是山东监管办、华东监管局、南方监管局、河南监管办、华北监管局，差级企业</w:t>
      </w:r>
      <w:proofErr w:type="gramStart"/>
      <w:r>
        <w:rPr>
          <w:rFonts w:hint="eastAsia"/>
          <w:color w:val="000000"/>
          <w:sz w:val="21"/>
          <w:szCs w:val="21"/>
        </w:rPr>
        <w:t>占比较</w:t>
      </w:r>
      <w:proofErr w:type="gramEnd"/>
      <w:r>
        <w:rPr>
          <w:rFonts w:hint="eastAsia"/>
          <w:color w:val="000000"/>
          <w:sz w:val="21"/>
          <w:szCs w:val="21"/>
        </w:rPr>
        <w:t>高的前五名是东北监管局、华北监管局、西北监管局、山东监管办、华中监管局。</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三、与2018年相比不良信用记录呈下降趋势</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2019年，能源行业所产生的行政处罚、黑名单、合同违约等不良信用记录与2018年相比下降趋势明显（不良信用记录区域分布状况见附表2）。</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（一）行政处罚方面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能源行业市场主体行政处罚数量同比平均下降54.32%，其中，煤炭行业下降幅度最大，达56.24%；油气行业其次，下降53.82%；电力行业下降52.9%。</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从区域分布状况来看，行政处罚</w:t>
      </w:r>
      <w:proofErr w:type="gramStart"/>
      <w:r>
        <w:rPr>
          <w:rFonts w:hint="eastAsia"/>
          <w:color w:val="000000"/>
          <w:sz w:val="21"/>
          <w:szCs w:val="21"/>
        </w:rPr>
        <w:t>记录占</w:t>
      </w:r>
      <w:proofErr w:type="gramEnd"/>
      <w:r>
        <w:rPr>
          <w:rFonts w:hint="eastAsia"/>
          <w:color w:val="000000"/>
          <w:sz w:val="21"/>
          <w:szCs w:val="21"/>
        </w:rPr>
        <w:t>全部行政处罚记录比值较高的前五名为华北监管局、南方监管局、江苏监管办、东北监管局和山西监管办等辖区。行政处罚</w:t>
      </w:r>
      <w:proofErr w:type="gramStart"/>
      <w:r>
        <w:rPr>
          <w:rFonts w:hint="eastAsia"/>
          <w:color w:val="000000"/>
          <w:sz w:val="21"/>
          <w:szCs w:val="21"/>
        </w:rPr>
        <w:t>记录占</w:t>
      </w:r>
      <w:proofErr w:type="gramEnd"/>
      <w:r>
        <w:rPr>
          <w:rFonts w:hint="eastAsia"/>
          <w:color w:val="000000"/>
          <w:sz w:val="21"/>
          <w:szCs w:val="21"/>
        </w:rPr>
        <w:t>全部行政处罚记录比值较低的前五名为新疆监管办、云南监管办、福建监管办、浙江监管办和湖南监管办等辖区。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从国家能源局派出机构</w:t>
      </w:r>
      <w:proofErr w:type="gramStart"/>
      <w:r>
        <w:rPr>
          <w:rFonts w:hint="eastAsia"/>
          <w:color w:val="000000"/>
          <w:sz w:val="21"/>
          <w:szCs w:val="21"/>
        </w:rPr>
        <w:t>作出</w:t>
      </w:r>
      <w:proofErr w:type="gramEnd"/>
      <w:r>
        <w:rPr>
          <w:rFonts w:hint="eastAsia"/>
          <w:color w:val="000000"/>
          <w:sz w:val="21"/>
          <w:szCs w:val="21"/>
        </w:rPr>
        <w:t>的行政处罚来看，2019年全年</w:t>
      </w:r>
      <w:proofErr w:type="gramStart"/>
      <w:r>
        <w:rPr>
          <w:rFonts w:hint="eastAsia"/>
          <w:color w:val="000000"/>
          <w:sz w:val="21"/>
          <w:szCs w:val="21"/>
        </w:rPr>
        <w:t>作出</w:t>
      </w:r>
      <w:proofErr w:type="gramEnd"/>
      <w:r>
        <w:rPr>
          <w:rFonts w:hint="eastAsia"/>
          <w:color w:val="000000"/>
          <w:sz w:val="21"/>
          <w:szCs w:val="21"/>
        </w:rPr>
        <w:t>行政处罚87条，较2018年下降8.2%，涉及持证企业38家（电力业务资质许可企业10家，承装（修、试）电力设施企业28家），未持证企业48家。从主营业务上看，电力建设类行政处罚数量37条，发、输、供电类企业18条，其他类32条。从处罚类型上看，与许可证相关的行政处罚有72条，其他处罚15条。从所有制上看，5家国有企业受到5条行政处罚，其余82条行政处罚全部来自民营企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（二）黑名单方面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能源行业市场主体黑名单数量降幅比行政处罚降幅小，其中，煤炭行业黑名单记录几乎与2018年持平；油气行业下降幅度最大，下降27.88%；电力行业下降14.89%。</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黑名单</w:t>
      </w:r>
      <w:proofErr w:type="gramStart"/>
      <w:r>
        <w:rPr>
          <w:rFonts w:hint="eastAsia"/>
          <w:color w:val="000000"/>
          <w:sz w:val="21"/>
          <w:szCs w:val="21"/>
        </w:rPr>
        <w:t>记录占</w:t>
      </w:r>
      <w:proofErr w:type="gramEnd"/>
      <w:r>
        <w:rPr>
          <w:rFonts w:hint="eastAsia"/>
          <w:color w:val="000000"/>
          <w:sz w:val="21"/>
          <w:szCs w:val="21"/>
        </w:rPr>
        <w:t>全部黑名单记录比值较高的前五名为山西监管办、贵州监管办、华中监管局、东北监管局、河南监管办等辖区。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黑名单</w:t>
      </w:r>
      <w:proofErr w:type="gramStart"/>
      <w:r>
        <w:rPr>
          <w:rFonts w:hint="eastAsia"/>
          <w:color w:val="000000"/>
          <w:sz w:val="21"/>
          <w:szCs w:val="21"/>
        </w:rPr>
        <w:t>记录占</w:t>
      </w:r>
      <w:proofErr w:type="gramEnd"/>
      <w:r>
        <w:rPr>
          <w:rFonts w:hint="eastAsia"/>
          <w:color w:val="000000"/>
          <w:sz w:val="21"/>
          <w:szCs w:val="21"/>
        </w:rPr>
        <w:t>全部黑名单比值较低的前五名为浙江监管办、新疆监管办、福建监管办、江苏监管办、华东监管局等辖区。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（三）合同违约方面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能源行业市场主体所产生的合同违约数量降幅相对较大，其中，油气行业、煤炭行业降幅均达到60%以上（煤炭行业下降62.92%，油气行业下降69.19%），电力行业降幅达28.83%。</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合同</w:t>
      </w:r>
      <w:proofErr w:type="gramStart"/>
      <w:r>
        <w:rPr>
          <w:rFonts w:hint="eastAsia"/>
          <w:color w:val="000000"/>
          <w:sz w:val="21"/>
          <w:szCs w:val="21"/>
        </w:rPr>
        <w:t>违约占</w:t>
      </w:r>
      <w:proofErr w:type="gramEnd"/>
      <w:r>
        <w:rPr>
          <w:rFonts w:hint="eastAsia"/>
          <w:color w:val="000000"/>
          <w:sz w:val="21"/>
          <w:szCs w:val="21"/>
        </w:rPr>
        <w:t>全部合同违约比值较低的前五名为福建监管办、浙江监管办、甘肃监管办、新疆监管办、云南监管办等辖区。合同</w:t>
      </w:r>
      <w:proofErr w:type="gramStart"/>
      <w:r>
        <w:rPr>
          <w:rFonts w:hint="eastAsia"/>
          <w:color w:val="000000"/>
          <w:sz w:val="21"/>
          <w:szCs w:val="21"/>
        </w:rPr>
        <w:t>违约占</w:t>
      </w:r>
      <w:proofErr w:type="gramEnd"/>
      <w:r>
        <w:rPr>
          <w:rFonts w:hint="eastAsia"/>
          <w:color w:val="000000"/>
          <w:sz w:val="21"/>
          <w:szCs w:val="21"/>
        </w:rPr>
        <w:t>全部合同违约比值较高的前五名为东北监管局、华北监管局、华中监管局、河南监管办、山西监管办等辖区。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四、需重点关注的方面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本报告显示，不良信用记录多集中在电力建设类、煤炭生产类、煤矿建设类、油气销售类企业；行政处罚需重点关注环保和安全方面，黑名单需重点关注电力行业的失信被执行人记录、煤炭行业和油气行业的市场经营</w:t>
      </w:r>
      <w:proofErr w:type="gramStart"/>
      <w:r>
        <w:rPr>
          <w:rFonts w:hint="eastAsia"/>
          <w:color w:val="000000"/>
          <w:sz w:val="21"/>
          <w:szCs w:val="21"/>
        </w:rPr>
        <w:t>类记录</w:t>
      </w:r>
      <w:proofErr w:type="gramEnd"/>
      <w:r>
        <w:rPr>
          <w:rFonts w:hint="eastAsia"/>
          <w:color w:val="000000"/>
          <w:sz w:val="21"/>
          <w:szCs w:val="21"/>
        </w:rPr>
        <w:t>;合同违约需重点关注其他类经济纠纷。数量庞大的民营企业在优级企业记录和不良信用记录中数量都较多，需进行分级分类监管，对信用良好的企业采取守信激励措施，对不良信用记录较多的企业加强失信惩戒，对黑名单企业实施联合惩戒。</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（一）电力行业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1.不良信用记录区域分布差异较大</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企业数量较多的地区，不良信用记录也较多。广东省、北京市、江苏省、湖北省、内蒙古自治区受到行政处罚的企业数量占该区域电力企业总数的比值较高。黑龙江省、江西省、河南省、贵州省、安徽省，黑名单数量占该区域电力企业总数的比值较高。北京市、江苏省、吉林省、河南省、贵州省发生合同违约数量占该区域电力企业总数的比值较高</w:t>
      </w:r>
      <w:r>
        <w:rPr>
          <w:rFonts w:hint="eastAsia"/>
          <w:color w:val="000000"/>
          <w:sz w:val="21"/>
          <w:szCs w:val="21"/>
        </w:rPr>
        <w:lastRenderedPageBreak/>
        <w:t>（见表1）。全国电力企业平均产生0.19条不良信用记录（不良信用记录总数/电力企业总数），高于全国平均水平的前五名分别是黑龙江省（0.35条）、北京市（0.34条）、江苏省（0.33条）、河南省（0.28条）、江西省（0.28条）；低于全国平均水平的前五名分别是西藏自治区（0.03条）、海南省（0.06条）、云南省（0.08条）、新疆维吾尔自治区（0.1条）、陕西省（0.11条）。从电力行业不良信用记录区域</w:t>
      </w:r>
      <w:proofErr w:type="gramStart"/>
      <w:r>
        <w:rPr>
          <w:rFonts w:hint="eastAsia"/>
          <w:color w:val="000000"/>
          <w:sz w:val="21"/>
          <w:szCs w:val="21"/>
        </w:rPr>
        <w:t>分布占</w:t>
      </w:r>
      <w:proofErr w:type="gramEnd"/>
      <w:r>
        <w:rPr>
          <w:rFonts w:hint="eastAsia"/>
          <w:color w:val="000000"/>
          <w:sz w:val="21"/>
          <w:szCs w:val="21"/>
        </w:rPr>
        <w:t>比情况看，北京市、江苏省、河南省和贵州省三项排名中，均同时有两项排名居于前五（见表1）。</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hint="eastAsia"/>
          <w:color w:val="0000FF"/>
          <w:sz w:val="21"/>
          <w:szCs w:val="21"/>
        </w:rPr>
        <w:t>表1 电力行业不良信用记录区域</w:t>
      </w:r>
      <w:proofErr w:type="gramStart"/>
      <w:r>
        <w:rPr>
          <w:rFonts w:hint="eastAsia"/>
          <w:color w:val="0000FF"/>
          <w:sz w:val="21"/>
          <w:szCs w:val="21"/>
        </w:rPr>
        <w:t>分布占</w:t>
      </w:r>
      <w:proofErr w:type="gramEnd"/>
      <w:r>
        <w:rPr>
          <w:rFonts w:hint="eastAsia"/>
          <w:color w:val="0000FF"/>
          <w:sz w:val="21"/>
          <w:szCs w:val="21"/>
        </w:rPr>
        <w:t>比情况</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noProof/>
          <w:color w:val="000000"/>
          <w:sz w:val="21"/>
          <w:szCs w:val="21"/>
        </w:rPr>
        <w:drawing>
          <wp:inline distT="0" distB="0" distL="0" distR="0" wp14:anchorId="4DAAFC6E" wp14:editId="692B226F">
            <wp:extent cx="5362575" cy="1714500"/>
            <wp:effectExtent l="0" t="0" r="9525" b="0"/>
            <wp:docPr id="3" name="{F461BE96-6341-4656-B96C-0F47507875C3}" descr="http://www.nea.gov.cn/2020-08/26/139287115_1597286859505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61BE96-6341-4656-B96C-0F47507875C3}" descr="http://www.nea.gov.cn/2020-08/26/139287115_15972868595051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1714500"/>
                    </a:xfrm>
                    <a:prstGeom prst="rect">
                      <a:avLst/>
                    </a:prstGeom>
                    <a:noFill/>
                    <a:ln>
                      <a:noFill/>
                    </a:ln>
                  </pic:spPr>
                </pic:pic>
              </a:graphicData>
            </a:graphic>
          </wp:inline>
        </w:drawing>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2.行政处罚、黑名单和合同违约主要集中于电力建设类企业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电力建设类企业占电力行业所有企业的54.69%，行政处罚中来自电力建设类企业的占82%，黑名单中来自电力建设类企业的占64.50%，合同违约中来自电力建设类企业的占74.55%。</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3.行政处罚其他类占比最大，黑名单主要是失信被执行人最多，合同违约信息主要涉及其他类</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电力企业行政处罚其他</w:t>
      </w:r>
      <w:proofErr w:type="gramStart"/>
      <w:r>
        <w:rPr>
          <w:rFonts w:hint="eastAsia"/>
          <w:color w:val="000000"/>
          <w:sz w:val="21"/>
          <w:szCs w:val="21"/>
        </w:rPr>
        <w:t>类处罚占</w:t>
      </w:r>
      <w:proofErr w:type="gramEnd"/>
      <w:r>
        <w:rPr>
          <w:rFonts w:hint="eastAsia"/>
          <w:color w:val="000000"/>
          <w:sz w:val="21"/>
          <w:szCs w:val="21"/>
        </w:rPr>
        <w:t>比最大，主要涉及交通部门的处罚，占电力所有行政处罚的54.59%，其次是环保类（21.32%）、安全类（16.35%）和市场类（7.74%）。黑名单主要是失信被执行人占比最大，达到79.44%。合同违约主要涉及其他类，如拖欠账款、劳务纠纷等,即企业因经济纠纷、劳务纠纷被告且败诉的情况居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4.舆情信息涉及安全、环保类较多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从环保舆情趋势看，全年整体呈下降趋势。从安全生产舆情看，全年呈现出先升后降趋势。夏季是生产生活用电高峰期，同时伴随自然灾害和极端天气增多，电力安全隐患加大，第三季度失信舆情数量达到峰值，多起较大安全事故引发舆论关注。</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（二）煤炭行业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1.不良信用记录区域分布差异较大</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企业数量较多的地区，不良信用信息也较多。浙江省、西藏自治区、内蒙古自治区、河北省、黑龙江省行政处罚数量占该区域煤炭企业总数的比值较高。贵州省、海南省、天津市、湖北省、北京市黑名单数量占该区域煤炭企业总数的比值较高。北京市、黑龙江省、江苏省、山东省、河北省合同违约数量占该区域煤炭企业总数的比值较高（见表2）。全国煤炭企业平均产生0.49条记录（不良信用记录总数/煤炭企业总数），高于全国平均水平的前五名分别是北京市（1.25条）、浙江省（0.8条）、贵州省（0.77条）、黑龙江省（0.73条）、湖北省（0.71条）；低于全国平均水平的前五名分别是上海市（0条）、广东省（0.09条）、青海省（0.13条）、宁夏回族自治区（0.24条）、陕西省（0.27条）。从煤炭行业不良信用记录区域</w:t>
      </w:r>
      <w:proofErr w:type="gramStart"/>
      <w:r>
        <w:rPr>
          <w:rFonts w:hint="eastAsia"/>
          <w:color w:val="000000"/>
          <w:sz w:val="21"/>
          <w:szCs w:val="21"/>
        </w:rPr>
        <w:t>分布占</w:t>
      </w:r>
      <w:proofErr w:type="gramEnd"/>
      <w:r>
        <w:rPr>
          <w:rFonts w:hint="eastAsia"/>
          <w:color w:val="000000"/>
          <w:sz w:val="21"/>
          <w:szCs w:val="21"/>
        </w:rPr>
        <w:t>比情况看，北京市、河北省和黑龙江省三项排名中，均同时有两项排名居于前五（见表2）。</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hint="eastAsia"/>
          <w:color w:val="0000FF"/>
          <w:sz w:val="21"/>
          <w:szCs w:val="21"/>
        </w:rPr>
        <w:t>表2 煤炭行业不良信用记录区域</w:t>
      </w:r>
      <w:proofErr w:type="gramStart"/>
      <w:r>
        <w:rPr>
          <w:rFonts w:hint="eastAsia"/>
          <w:color w:val="0000FF"/>
          <w:sz w:val="21"/>
          <w:szCs w:val="21"/>
        </w:rPr>
        <w:t>分布占</w:t>
      </w:r>
      <w:proofErr w:type="gramEnd"/>
      <w:r>
        <w:rPr>
          <w:rFonts w:hint="eastAsia"/>
          <w:color w:val="0000FF"/>
          <w:sz w:val="21"/>
          <w:szCs w:val="21"/>
        </w:rPr>
        <w:t>比情况</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noProof/>
          <w:color w:val="000000"/>
          <w:sz w:val="21"/>
          <w:szCs w:val="21"/>
        </w:rPr>
        <w:drawing>
          <wp:inline distT="0" distB="0" distL="0" distR="0" wp14:anchorId="33A2E4F3" wp14:editId="65419877">
            <wp:extent cx="5372100" cy="2066925"/>
            <wp:effectExtent l="0" t="0" r="0" b="9525"/>
            <wp:docPr id="4" name="{0952B43F-F53A-4283-8FED-B94915FDBBDE}" descr="http://www.nea.gov.cn/2020-08/26/139287115_1597286885904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52B43F-F53A-4283-8FED-B94915FDBBDE}" descr="http://www.nea.gov.cn/2020-08/26/139287115_15972868859041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2066925"/>
                    </a:xfrm>
                    <a:prstGeom prst="rect">
                      <a:avLst/>
                    </a:prstGeom>
                    <a:noFill/>
                    <a:ln>
                      <a:noFill/>
                    </a:ln>
                  </pic:spPr>
                </pic:pic>
              </a:graphicData>
            </a:graphic>
          </wp:inline>
        </w:drawing>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2.行政处罚和黑名单记录集中于煤炭生产类企业，合同违约集中在煤矿建设类企业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煤炭生产类企业行政处罚和黑名单</w:t>
      </w:r>
      <w:proofErr w:type="gramStart"/>
      <w:r>
        <w:rPr>
          <w:rFonts w:hint="eastAsia"/>
          <w:color w:val="000000"/>
          <w:sz w:val="21"/>
          <w:szCs w:val="21"/>
        </w:rPr>
        <w:t>记录占</w:t>
      </w:r>
      <w:proofErr w:type="gramEnd"/>
      <w:r>
        <w:rPr>
          <w:rFonts w:hint="eastAsia"/>
          <w:color w:val="000000"/>
          <w:sz w:val="21"/>
          <w:szCs w:val="21"/>
        </w:rPr>
        <w:t>比均达到70%。煤矿建设类企业合同违约</w:t>
      </w:r>
      <w:proofErr w:type="gramStart"/>
      <w:r>
        <w:rPr>
          <w:rFonts w:hint="eastAsia"/>
          <w:color w:val="000000"/>
          <w:sz w:val="21"/>
          <w:szCs w:val="21"/>
        </w:rPr>
        <w:t>记录占</w:t>
      </w:r>
      <w:proofErr w:type="gramEnd"/>
      <w:r>
        <w:rPr>
          <w:rFonts w:hint="eastAsia"/>
          <w:color w:val="000000"/>
          <w:sz w:val="21"/>
          <w:szCs w:val="21"/>
        </w:rPr>
        <w:t>比达到55%。</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3.行政处罚环保、市场类占比最高，黑名单多数为异常经营记录，合同违约中其他类占比最高</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煤炭企业行政处罚环保类占比42.77%、市场类占比21.19%。黑名单多数为市场类异常经营记录，占比68.63%。合同违约中其他类占比最高，占99%，即企业因经济纠纷、劳务纠纷被告且败诉的情况居多，能源业务、施工安全、施工违规、环保类违约均没有失信黑名单纪录。</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4.舆情信息主要涉及环保、安全类</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舆情中环境保护类和安全生产类</w:t>
      </w:r>
      <w:proofErr w:type="gramStart"/>
      <w:r>
        <w:rPr>
          <w:rFonts w:hint="eastAsia"/>
          <w:color w:val="000000"/>
          <w:sz w:val="21"/>
          <w:szCs w:val="21"/>
        </w:rPr>
        <w:t>占比较</w:t>
      </w:r>
      <w:proofErr w:type="gramEnd"/>
      <w:r>
        <w:rPr>
          <w:rFonts w:hint="eastAsia"/>
          <w:color w:val="000000"/>
          <w:sz w:val="21"/>
          <w:szCs w:val="21"/>
        </w:rPr>
        <w:t>大。环境保护类失信舆情数量第二季度急剧增加，达到顶峰，第三、四季度缓慢回落。安全生产类失信舆情数量呈周期波动趋势，第二、四季度相对第一、三季度数量处于较高水平。</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（三）油气行业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1.不良信用记录区域分布差异较大</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北京市、内蒙古自治区、青海省、江苏省、宁夏回族自治区受到行政处罚的企业数量占该区域油气企业总数的比值较高。贵州省、天津市、甘肃省、宁夏回族自治区、湖北省被纳入黑名单的企业数量占该区域油气企业总数的比值较高。北京市、辽宁省、黑龙江省、重庆市、天津市发生合同违约数量占该区域油气企业总数的比值较高（见表3）。全国油气企业平均产生0.08条记录（不良信用记录总数/油气企业总数），高于全国平均水平的前五名分别是贵州省（0.20条）、天津市（0.19条）、北京市（0.18条）、甘肃省（0.16条）、宁夏回族自治区（0.15条）；低于全国平均水平的前五名分别是福建省（0.03条）、云南省（0.04条）、四川省（0.05条）、西藏自治区（0.05条）、新疆维吾尔自治区（0.06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从油气行业不良信用记录区域</w:t>
      </w:r>
      <w:proofErr w:type="gramStart"/>
      <w:r>
        <w:rPr>
          <w:rFonts w:hint="eastAsia"/>
          <w:color w:val="000000"/>
          <w:sz w:val="21"/>
          <w:szCs w:val="21"/>
        </w:rPr>
        <w:t>分布占</w:t>
      </w:r>
      <w:proofErr w:type="gramEnd"/>
      <w:r>
        <w:rPr>
          <w:rFonts w:hint="eastAsia"/>
          <w:color w:val="000000"/>
          <w:sz w:val="21"/>
          <w:szCs w:val="21"/>
        </w:rPr>
        <w:t>比情况看，北京市、天津市和宁夏回族自治区三项排名中，均同时有两项排名居于前五（见表3）。</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rFonts w:hint="eastAsia"/>
          <w:color w:val="0000FF"/>
          <w:sz w:val="21"/>
          <w:szCs w:val="21"/>
        </w:rPr>
        <w:t>表3 油气行业不良信用记录区域</w:t>
      </w:r>
      <w:proofErr w:type="gramStart"/>
      <w:r>
        <w:rPr>
          <w:rFonts w:hint="eastAsia"/>
          <w:color w:val="0000FF"/>
          <w:sz w:val="21"/>
          <w:szCs w:val="21"/>
        </w:rPr>
        <w:t>分布占</w:t>
      </w:r>
      <w:proofErr w:type="gramEnd"/>
      <w:r>
        <w:rPr>
          <w:rFonts w:hint="eastAsia"/>
          <w:color w:val="0000FF"/>
          <w:sz w:val="21"/>
          <w:szCs w:val="21"/>
        </w:rPr>
        <w:t>比情况</w:t>
      </w:r>
    </w:p>
    <w:p w:rsidR="00E103CE" w:rsidRDefault="00E103CE" w:rsidP="00E103CE">
      <w:pPr>
        <w:pStyle w:val="a3"/>
        <w:shd w:val="clear" w:color="auto" w:fill="FFFFFF"/>
        <w:spacing w:before="225" w:beforeAutospacing="0" w:after="0" w:afterAutospacing="0" w:line="450" w:lineRule="atLeast"/>
        <w:jc w:val="center"/>
        <w:rPr>
          <w:color w:val="000000"/>
          <w:sz w:val="21"/>
          <w:szCs w:val="21"/>
        </w:rPr>
      </w:pPr>
      <w:r>
        <w:rPr>
          <w:noProof/>
          <w:color w:val="000000"/>
          <w:sz w:val="21"/>
          <w:szCs w:val="21"/>
        </w:rPr>
        <w:lastRenderedPageBreak/>
        <w:drawing>
          <wp:inline distT="0" distB="0" distL="0" distR="0" wp14:anchorId="0B3601B7" wp14:editId="54E23B85">
            <wp:extent cx="5438775" cy="2019300"/>
            <wp:effectExtent l="0" t="0" r="9525" b="0"/>
            <wp:docPr id="5" name="{E90E421D-170C-4A09-AE05-11374571F882}" descr="http://www.nea.gov.cn/2020-08/26/139287115_159728690422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0E421D-170C-4A09-AE05-11374571F882}" descr="http://www.nea.gov.cn/2020-08/26/139287115_15972869042211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2.行政处罚、黑名单和合同违约记录主要集中于油气销售类企业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油气销售类企业占油气行业所有企业的95.89%，行政处罚中来自油气销售类企业的占95%，黑名单中来自油气销售类企业的占94%，合同违约中来自油气销售类企业的占98%。</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3.行政处罚其他类占比最高，黑名单中多数为异常经营记录，合同违约中其他类</w:t>
      </w:r>
      <w:proofErr w:type="gramStart"/>
      <w:r>
        <w:rPr>
          <w:rFonts w:hint="eastAsia"/>
          <w:color w:val="000000"/>
          <w:sz w:val="21"/>
          <w:szCs w:val="21"/>
        </w:rPr>
        <w:t>占比较</w:t>
      </w:r>
      <w:proofErr w:type="gramEnd"/>
      <w:r>
        <w:rPr>
          <w:rFonts w:hint="eastAsia"/>
          <w:color w:val="000000"/>
          <w:sz w:val="21"/>
          <w:szCs w:val="21"/>
        </w:rPr>
        <w:t>高</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油气企业行政处罚中其他类占比最高，主要是交通管理方面的行政处罚，占油气行政处罚的41.10%，其次是市场类（36.20%）、环保类（19.02%）。黑名单中多数为市场类异常经营记录，占比77.64%。合同违约中其他类占比最高，占比94.49%，即企业因经济纠纷、劳务纠纷被告且败诉的情况居多。</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4.舆情信息涉及安全生产、劳资纠纷较明显</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油气行业安全生产和劳资纠纷失信舆情数量</w:t>
      </w:r>
      <w:proofErr w:type="gramStart"/>
      <w:r>
        <w:rPr>
          <w:rFonts w:hint="eastAsia"/>
          <w:color w:val="000000"/>
          <w:sz w:val="21"/>
          <w:szCs w:val="21"/>
        </w:rPr>
        <w:t>占比较</w:t>
      </w:r>
      <w:proofErr w:type="gramEnd"/>
      <w:r>
        <w:rPr>
          <w:rFonts w:hint="eastAsia"/>
          <w:color w:val="000000"/>
          <w:sz w:val="21"/>
          <w:szCs w:val="21"/>
        </w:rPr>
        <w:t>大， 全年呈现小幅度先升后降趋势。安全生产第二季度和第三季度出现两个拐点，到第三季度达到高峰，随后，稳步下降。劳资纠纷则在春节过后的第二季度达到高峰，随后，平稳下降。</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Style w:val="a4"/>
          <w:rFonts w:hint="eastAsia"/>
          <w:color w:val="000000"/>
          <w:sz w:val="21"/>
          <w:szCs w:val="21"/>
        </w:rPr>
        <w:t xml:space="preserve">　　五、综述</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（一）相关建议</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1.重点关注不良信用记录高发领域，突出监管针对性</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对于电力行业，需重点关注不良信用记录较多的重点区域和电力建设类企业，实施分级分类信用监管措施；提醒警示相关企业注重合同违约风险，以</w:t>
      </w:r>
      <w:proofErr w:type="gramStart"/>
      <w:r>
        <w:rPr>
          <w:rFonts w:hint="eastAsia"/>
          <w:color w:val="000000"/>
          <w:sz w:val="21"/>
          <w:szCs w:val="21"/>
        </w:rPr>
        <w:t>防范因</w:t>
      </w:r>
      <w:proofErr w:type="gramEnd"/>
      <w:r>
        <w:rPr>
          <w:rFonts w:hint="eastAsia"/>
          <w:color w:val="000000"/>
          <w:sz w:val="21"/>
          <w:szCs w:val="21"/>
        </w:rPr>
        <w:t>失信被执行人记录</w:t>
      </w:r>
      <w:r>
        <w:rPr>
          <w:rFonts w:hint="eastAsia"/>
          <w:color w:val="000000"/>
          <w:sz w:val="21"/>
          <w:szCs w:val="21"/>
        </w:rPr>
        <w:lastRenderedPageBreak/>
        <w:t>而列入联合惩戒黑名单；同时，相关企业要切实正视安全生产和环保方面存在的突出问题，积极落实责任，降低信用风险。</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对于煤炭行业，需重点关注企业数量较多和不良信用</w:t>
      </w:r>
      <w:proofErr w:type="gramStart"/>
      <w:r>
        <w:rPr>
          <w:rFonts w:hint="eastAsia"/>
          <w:color w:val="000000"/>
          <w:sz w:val="21"/>
          <w:szCs w:val="21"/>
        </w:rPr>
        <w:t>记录占比较</w:t>
      </w:r>
      <w:proofErr w:type="gramEnd"/>
      <w:r>
        <w:rPr>
          <w:rFonts w:hint="eastAsia"/>
          <w:color w:val="000000"/>
          <w:sz w:val="21"/>
          <w:szCs w:val="21"/>
        </w:rPr>
        <w:t>大的区域、煤炭生产类企业的行政处罚和黑名单记录、煤矿建设类企业的合同违约记录，以及环保、安全类舆情问题；对各项处罚数量较多的企业应当分级分类加强信用监管。同时，煤炭类企业要切实关注自身经济纠纷和劳务纠纷等合同违约问题，谨防列入失信黑名单而受到联合惩戒。</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对于油气行业，需重点关注不良信用记录数量较多的企业和</w:t>
      </w:r>
      <w:proofErr w:type="gramStart"/>
      <w:r>
        <w:rPr>
          <w:rFonts w:hint="eastAsia"/>
          <w:color w:val="000000"/>
          <w:sz w:val="21"/>
          <w:szCs w:val="21"/>
        </w:rPr>
        <w:t>占比较</w:t>
      </w:r>
      <w:proofErr w:type="gramEnd"/>
      <w:r>
        <w:rPr>
          <w:rFonts w:hint="eastAsia"/>
          <w:color w:val="000000"/>
          <w:sz w:val="21"/>
          <w:szCs w:val="21"/>
        </w:rPr>
        <w:t>大的区域；从主营业务来看，重点关注油气销售类企业；从行政处罚和黑名单来看，重点关注环保、市场类生产领域；对不良信用记录数量较多的企业强化分级分类监管。同时，相关企业要增强依法合</w:t>
      </w:r>
      <w:proofErr w:type="gramStart"/>
      <w:r>
        <w:rPr>
          <w:rFonts w:hint="eastAsia"/>
          <w:color w:val="000000"/>
          <w:sz w:val="21"/>
          <w:szCs w:val="21"/>
        </w:rPr>
        <w:t>规</w:t>
      </w:r>
      <w:proofErr w:type="gramEnd"/>
      <w:r>
        <w:rPr>
          <w:rFonts w:hint="eastAsia"/>
          <w:color w:val="000000"/>
          <w:sz w:val="21"/>
          <w:szCs w:val="21"/>
        </w:rPr>
        <w:t>履约守信意识，重视安全生产、经济纠纷和劳资纠纷等方面产生的失信问题。</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2.积极推进分级分类监管，探索构建以信用为基础的新型监管机制</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2019年初，国家能源局相继出台能源行业市场主体信用修复管理办法和失信联合惩戒对象名单（即黑名单）管理办法，进一步加强信用修复和黑名单管理，完善能源行业信用制度体系。2019年10月，国家能源局以电力业务许可和承装（修、试）电力设施许可信用监管应用措施清单为主要内容，启动了许可信用分类监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目前来看，信用分级分类监管中，守信激励方面还缺少相应的政策法规依据；基于能源监管的权利责任清单、行政处罚指引和信用行为等级认定之间的制度建设还需要完善，随着失信黑名单认定和信用修复的深入开展，其标准、程序、工作界面等需要进一步细化和规范；信用分类监管正在电力业务许可中试点探索，需进一步研究扩展到安全、市场、行业监管等诸多方面。</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下一阶段要加紧研究基于公共信用评价的分级分类监管，结合“双随机、</w:t>
      </w:r>
      <w:proofErr w:type="gramStart"/>
      <w:r>
        <w:rPr>
          <w:rFonts w:hint="eastAsia"/>
          <w:color w:val="000000"/>
          <w:sz w:val="21"/>
          <w:szCs w:val="21"/>
        </w:rPr>
        <w:t>一</w:t>
      </w:r>
      <w:proofErr w:type="gramEnd"/>
      <w:r>
        <w:rPr>
          <w:rFonts w:hint="eastAsia"/>
          <w:color w:val="000000"/>
          <w:sz w:val="21"/>
          <w:szCs w:val="21"/>
        </w:rPr>
        <w:t>公开”和“互联网+监管”等手段，不断拓展应用领域，为深入推进能源行业信用体系建设、探索构建以信用为基础的新型监管机制积累丰富的经验和示范借鉴。</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3.完善能源行业信用信息平台，加大信用信息归集共享力度</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随着与国家公共信用信息平台互联共享的不断深化，能源行业信用信息平台归集共享的信用信息更加丰富、多样、全面，为提示信用风险、强化严格监管、依法实施联合奖惩创造了技术平台和条件。</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在信用监管探索中，能源行业信用信息平台作用初显，但数据归集还面临不少问题：部分派出机构数据归集质量、更新时效性还有待提高，不良信息的归集比例还比较低；重点集团企业和有关行业协会的信用信息归集刚刚起步，欠缺较多；信用信息数据在管理和应用方面，</w:t>
      </w:r>
      <w:proofErr w:type="gramStart"/>
      <w:r>
        <w:rPr>
          <w:rFonts w:hint="eastAsia"/>
          <w:color w:val="000000"/>
          <w:sz w:val="21"/>
          <w:szCs w:val="21"/>
        </w:rPr>
        <w:t>还差距</w:t>
      </w:r>
      <w:proofErr w:type="gramEnd"/>
      <w:r>
        <w:rPr>
          <w:rFonts w:hint="eastAsia"/>
          <w:color w:val="000000"/>
          <w:sz w:val="21"/>
          <w:szCs w:val="21"/>
        </w:rPr>
        <w:t>较大。</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下一阶段要加强与国家公共信用信息平台及能源行业信源单位信用信息数据的联动共享，全面提升归集能力，拓展数据应用领域，让数据真正“活”起来。</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4.持续开展信用宣传和舆论引导，营造良好信用环境</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从2019年来看，能源行业总体信用状况良好，但信用差级企业数量明显多于优级企业数量。煤炭行业差级企业占煤炭企业总数的比例超过10%，尤为突出。差级企业多数存在多条行政处罚或黑名单记录。有关部门要持续开展信用宣传和舆论引导，指导督促行业协会和重点企业，积极开展信用建设工作，做好信用承诺，主动申请信用修复，及时退出黑名单。同时，要有效利用现有信用体系建设成果和信用监管成效，加强宣传和引导，促进企业提升信用意识和诚信素质。</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（二）展望与趋势</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2020年是首部国家级社会信用体系建设规划纲要收官之年，也是“十四五”规划谋篇布局之年。能源行业信用体系建设工作将继续秉承“深化信用、强化监管、优化服务”的原则，紧紧围绕国家社会信用体系建设的有关要求，依法合</w:t>
      </w:r>
      <w:proofErr w:type="gramStart"/>
      <w:r>
        <w:rPr>
          <w:rFonts w:hint="eastAsia"/>
          <w:color w:val="000000"/>
          <w:sz w:val="21"/>
          <w:szCs w:val="21"/>
        </w:rPr>
        <w:t>规</w:t>
      </w:r>
      <w:proofErr w:type="gramEnd"/>
      <w:r>
        <w:rPr>
          <w:rFonts w:hint="eastAsia"/>
          <w:color w:val="000000"/>
          <w:sz w:val="21"/>
          <w:szCs w:val="21"/>
        </w:rPr>
        <w:t>，有序推进，为积极探索构建以信用为基础的新型能源监管机制、营造良好的市场营商环境、促进能源高质量发展做出新成绩。</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1.立足信用立法进展，完善能源行业信用制度体系</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立足社会信用立法进展，严格按照国家社会信用体系建设的要求，结合能源行业自身特点、能源监管的工作界面、许可信用分类监管的经验成效，进一步完善和细化信用信息归集、联合奖惩、信用修复、信用评价和信用分级分类监管等各个方面的制度、规范、标准、程序，防止信用泛化、滥用，依法合</w:t>
      </w:r>
      <w:proofErr w:type="gramStart"/>
      <w:r>
        <w:rPr>
          <w:rFonts w:hint="eastAsia"/>
          <w:color w:val="000000"/>
          <w:sz w:val="21"/>
          <w:szCs w:val="21"/>
        </w:rPr>
        <w:t>规</w:t>
      </w:r>
      <w:proofErr w:type="gramEnd"/>
      <w:r>
        <w:rPr>
          <w:rFonts w:hint="eastAsia"/>
          <w:color w:val="000000"/>
          <w:sz w:val="21"/>
          <w:szCs w:val="21"/>
        </w:rPr>
        <w:t>、公开透明开展信用建设和信用监管工作。</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2.总结能源行业信用工作，探索构建新型能源监管机制</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全面梳理总结“十三五”能源行业信用体系建设工作经验和成效，特别是深入研究分析以信用为基础的许可专项监管工作经验，以及电力行业信用分级分类评价和监管机制，将具有能源行业特色的信用建设经验和许可信用监管经验向能源市场、行业、安全监管等领域拓展；同时，参考国内外成熟的信用监管实践和理论成果，按照国家“十四五”社会信用体系建设总体要求和部署，形成能源行业信用体系建设和信用监管新思路、新目标，积极探索构建以信用为基础的新型能源监管机制。</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3.规范失信联合惩戒和信用修复，有效开展信用监管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按照国家社会信用体系建设要求，切实加强事中事后监管，规范开展失信联合惩戒。在能源行业信用监管工作中，将进一步准确界定信用信息边界，依法规范失信行为和失信联合惩戒的认定范围、标准和程序，不断完善信用修复、异议处理和黑名单管理工作机制，积极开展公共信用评价，结合“双随机</w:t>
      </w:r>
      <w:proofErr w:type="gramStart"/>
      <w:r>
        <w:rPr>
          <w:rFonts w:hint="eastAsia"/>
          <w:color w:val="000000"/>
          <w:sz w:val="21"/>
          <w:szCs w:val="21"/>
        </w:rPr>
        <w:t>一</w:t>
      </w:r>
      <w:proofErr w:type="gramEnd"/>
      <w:r>
        <w:rPr>
          <w:rFonts w:hint="eastAsia"/>
          <w:color w:val="000000"/>
          <w:sz w:val="21"/>
          <w:szCs w:val="21"/>
        </w:rPr>
        <w:t>公开”等手段，有效开展信用监管。</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4.完善能源行业信用信息平台，强化信用信息归集</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利用“互联网+”、大数据应用等新技术，完善能源行业信用信息平台功能，积极推进与国家公共信用信息平台、能源行业信源单位系统平台的信用信息归集、共享和应用，优化信用信息类别，提升数据质量和应用能力，同时，做好“云”运维服务工作，保障平台系统安全稳定运行，为信用监管和信用服务提供基础支撑。</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5.拓宽信用培训渠道，加大信用宣传力度</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组织行业协会、重点集团企业和第三方中介组织，充分开展信用培训等活动，将信用培训贯穿市场主体全生命周期，事前进行诚信宣传教育，事中加强信用管理培训，事后开展信用修复活动。同时，积极拓宽信用培训和信用宣传方式，线上线下相结合，减轻企业负担，提升服务水平。</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6.调动多方力量，实现行业信用共建</w:t>
      </w:r>
    </w:p>
    <w:p w:rsidR="00E103CE" w:rsidRDefault="00E103CE" w:rsidP="00E103CE">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坚持政府监管、行业自律、企业自治、社会监督的原则，推进能源行业信用共建。国家能源局及其派出机构，加强顶层设计，深化指导和服务，强化信用监管，实现跨行业、跨部门联动，积极推动行业信用体系建设。行业协会要充分发挥行业自律作用，加强会员企业管理，做好信用评价、信用修复等工作。重点能源集团企业要发挥标杆作用，在集团上下建立内部信用管理工作机制，积极开展信用承诺，依法合</w:t>
      </w:r>
      <w:proofErr w:type="gramStart"/>
      <w:r>
        <w:rPr>
          <w:rFonts w:hint="eastAsia"/>
          <w:color w:val="000000"/>
          <w:sz w:val="21"/>
          <w:szCs w:val="21"/>
        </w:rPr>
        <w:t>规</w:t>
      </w:r>
      <w:proofErr w:type="gramEnd"/>
      <w:r>
        <w:rPr>
          <w:rFonts w:hint="eastAsia"/>
          <w:color w:val="000000"/>
          <w:sz w:val="21"/>
          <w:szCs w:val="21"/>
        </w:rPr>
        <w:t>诚实守信经营。第三方信</w:t>
      </w:r>
      <w:r>
        <w:rPr>
          <w:rFonts w:hint="eastAsia"/>
          <w:color w:val="000000"/>
          <w:sz w:val="21"/>
          <w:szCs w:val="21"/>
        </w:rPr>
        <w:lastRenderedPageBreak/>
        <w:t>用服务机构要充分利用好数据力量、技术力量和专业力量，开发丰富多样的信用产品，激</w:t>
      </w:r>
      <w:r w:rsidR="006E2BA1">
        <w:rPr>
          <w:noProof/>
          <w:color w:val="000000"/>
          <w:sz w:val="21"/>
          <w:szCs w:val="21"/>
        </w:rPr>
        <w:drawing>
          <wp:anchor distT="0" distB="0" distL="114300" distR="114300" simplePos="0" relativeHeight="251658240" behindDoc="0" locked="0" layoutInCell="1" allowOverlap="1">
            <wp:simplePos x="0" y="0"/>
            <wp:positionH relativeFrom="column">
              <wp:posOffset>-247650</wp:posOffset>
            </wp:positionH>
            <wp:positionV relativeFrom="paragraph">
              <wp:posOffset>630555</wp:posOffset>
            </wp:positionV>
            <wp:extent cx="5812155" cy="8229600"/>
            <wp:effectExtent l="0" t="0" r="0" b="0"/>
            <wp:wrapSquare wrapText="bothSides"/>
            <wp:docPr id="6" name="{B7084657-80D0-4B66-89E9-4B1E88C0021D}" descr="http://www.nea.gov.cn/2020-08/26/139287115_1597286934860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084657-80D0-4B66-89E9-4B1E88C0021D}" descr="http://www.nea.gov.cn/2020-08/26/139287115_15972869348601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2155" cy="822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sz w:val="21"/>
          <w:szCs w:val="21"/>
        </w:rPr>
        <w:t>活信用市场。</w:t>
      </w:r>
    </w:p>
    <w:p w:rsidR="00BF5271" w:rsidRPr="006E2BA1" w:rsidRDefault="006E2BA1" w:rsidP="006E2BA1">
      <w:pPr>
        <w:pStyle w:val="a3"/>
        <w:shd w:val="clear" w:color="auto" w:fill="FFFFFF"/>
        <w:spacing w:before="225" w:beforeAutospacing="0" w:after="0" w:afterAutospacing="0" w:line="450" w:lineRule="atLeast"/>
        <w:jc w:val="center"/>
        <w:rPr>
          <w:rFonts w:hint="eastAsia"/>
          <w:color w:val="000000"/>
          <w:sz w:val="21"/>
          <w:szCs w:val="21"/>
        </w:rPr>
      </w:pPr>
      <w:r>
        <w:rPr>
          <w:noProof/>
          <w:color w:val="000000"/>
          <w:sz w:val="21"/>
          <w:szCs w:val="21"/>
        </w:rPr>
        <w:lastRenderedPageBreak/>
        <w:drawing>
          <wp:anchor distT="0" distB="0" distL="114300" distR="114300" simplePos="0" relativeHeight="251659264" behindDoc="0" locked="0" layoutInCell="1" allowOverlap="1">
            <wp:simplePos x="0" y="0"/>
            <wp:positionH relativeFrom="column">
              <wp:posOffset>-381000</wp:posOffset>
            </wp:positionH>
            <wp:positionV relativeFrom="paragraph">
              <wp:posOffset>0</wp:posOffset>
            </wp:positionV>
            <wp:extent cx="5987207" cy="8477250"/>
            <wp:effectExtent l="0" t="0" r="0" b="0"/>
            <wp:wrapSquare wrapText="bothSides"/>
            <wp:docPr id="7" name="{5620C0E5-A310-42B9-BA35-85EFB9FB9B8D}" descr="http://www.nea.gov.cn/2020-08/26/139287115_1597286977739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0C0E5-A310-42B9-BA35-85EFB9FB9B8D}" descr="http://www.nea.gov.cn/2020-08/26/139287115_15972869777391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207" cy="8477250"/>
                    </a:xfrm>
                    <a:prstGeom prst="rect">
                      <a:avLst/>
                    </a:prstGeom>
                    <a:noFill/>
                    <a:ln>
                      <a:noFill/>
                    </a:ln>
                  </pic:spPr>
                </pic:pic>
              </a:graphicData>
            </a:graphic>
          </wp:anchor>
        </w:drawing>
      </w:r>
    </w:p>
    <w:sectPr w:rsidR="00BF5271" w:rsidRPr="006E2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9"/>
    <w:rsid w:val="002D7D99"/>
    <w:rsid w:val="006E2BA1"/>
    <w:rsid w:val="007A28ED"/>
    <w:rsid w:val="00BF5271"/>
    <w:rsid w:val="00E1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24F0-49F6-4517-8D5C-676F3D27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3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7775">
      <w:bodyDiv w:val="1"/>
      <w:marLeft w:val="0"/>
      <w:marRight w:val="0"/>
      <w:marTop w:val="0"/>
      <w:marBottom w:val="0"/>
      <w:divBdr>
        <w:top w:val="none" w:sz="0" w:space="0" w:color="auto"/>
        <w:left w:val="none" w:sz="0" w:space="0" w:color="auto"/>
        <w:bottom w:val="none" w:sz="0" w:space="0" w:color="auto"/>
        <w:right w:val="none" w:sz="0" w:space="0" w:color="auto"/>
      </w:divBdr>
      <w:divsChild>
        <w:div w:id="616912606">
          <w:marLeft w:val="0"/>
          <w:marRight w:val="0"/>
          <w:marTop w:val="0"/>
          <w:marBottom w:val="0"/>
          <w:divBdr>
            <w:top w:val="none" w:sz="0" w:space="0" w:color="auto"/>
            <w:left w:val="none" w:sz="0" w:space="0" w:color="auto"/>
            <w:bottom w:val="dotted" w:sz="6" w:space="0" w:color="02AD82"/>
            <w:right w:val="none" w:sz="0" w:space="0" w:color="auto"/>
          </w:divBdr>
        </w:div>
        <w:div w:id="2021270971">
          <w:marLeft w:val="0"/>
          <w:marRight w:val="0"/>
          <w:marTop w:val="0"/>
          <w:marBottom w:val="0"/>
          <w:divBdr>
            <w:top w:val="none" w:sz="0" w:space="0" w:color="auto"/>
            <w:left w:val="none" w:sz="0" w:space="0" w:color="auto"/>
            <w:bottom w:val="none" w:sz="0" w:space="0" w:color="auto"/>
            <w:right w:val="none" w:sz="0" w:space="0" w:color="auto"/>
          </w:divBdr>
          <w:divsChild>
            <w:div w:id="4818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38269">
      <w:bodyDiv w:val="1"/>
      <w:marLeft w:val="0"/>
      <w:marRight w:val="0"/>
      <w:marTop w:val="0"/>
      <w:marBottom w:val="0"/>
      <w:divBdr>
        <w:top w:val="none" w:sz="0" w:space="0" w:color="auto"/>
        <w:left w:val="none" w:sz="0" w:space="0" w:color="auto"/>
        <w:bottom w:val="none" w:sz="0" w:space="0" w:color="auto"/>
        <w:right w:val="none" w:sz="0" w:space="0" w:color="auto"/>
      </w:divBdr>
      <w:divsChild>
        <w:div w:id="465703420">
          <w:marLeft w:val="0"/>
          <w:marRight w:val="0"/>
          <w:marTop w:val="0"/>
          <w:marBottom w:val="0"/>
          <w:divBdr>
            <w:top w:val="none" w:sz="0" w:space="0" w:color="auto"/>
            <w:left w:val="none" w:sz="0" w:space="0" w:color="auto"/>
            <w:bottom w:val="dotted" w:sz="6" w:space="0" w:color="02AD82"/>
            <w:right w:val="none" w:sz="0" w:space="0" w:color="auto"/>
          </w:divBdr>
        </w:div>
        <w:div w:id="1210456157">
          <w:marLeft w:val="0"/>
          <w:marRight w:val="0"/>
          <w:marTop w:val="0"/>
          <w:marBottom w:val="0"/>
          <w:divBdr>
            <w:top w:val="none" w:sz="0" w:space="0" w:color="auto"/>
            <w:left w:val="none" w:sz="0" w:space="0" w:color="auto"/>
            <w:bottom w:val="none" w:sz="0" w:space="0" w:color="auto"/>
            <w:right w:val="none" w:sz="0" w:space="0" w:color="auto"/>
          </w:divBdr>
        </w:div>
      </w:divsChild>
    </w:div>
    <w:div w:id="16763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文海波</dc:creator>
  <cp:keywords/>
  <dc:description/>
  <cp:lastModifiedBy>王苗苗</cp:lastModifiedBy>
  <cp:revision>3</cp:revision>
  <dcterms:created xsi:type="dcterms:W3CDTF">2020-12-01T03:13:00Z</dcterms:created>
  <dcterms:modified xsi:type="dcterms:W3CDTF">2020-12-01T05:42:00Z</dcterms:modified>
</cp:coreProperties>
</file>